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D6AE7" w14:textId="77777777" w:rsidR="00E55499" w:rsidRDefault="00E55499" w:rsidP="00E55499">
      <w:pPr>
        <w:pStyle w:val="Titre1"/>
        <w:ind w:left="432"/>
        <w:jc w:val="center"/>
      </w:pPr>
      <w:bookmarkStart w:id="0" w:name="_Toc221522682"/>
      <w:r>
        <w:t>ANNEXE 1 – BORDEREAU DES PRIX UNITAIRES</w:t>
      </w:r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00"/>
        <w:gridCol w:w="1062"/>
      </w:tblGrid>
      <w:tr w:rsidR="00E55499" w:rsidRPr="00F800EB" w14:paraId="3150FAC6" w14:textId="77777777" w:rsidTr="001511C8">
        <w:trPr>
          <w:trHeight w:val="280"/>
        </w:trPr>
        <w:tc>
          <w:tcPr>
            <w:tcW w:w="9460" w:type="dxa"/>
            <w:gridSpan w:val="2"/>
            <w:shd w:val="clear" w:color="auto" w:fill="501549" w:themeFill="accent5" w:themeFillShade="80"/>
            <w:noWrap/>
            <w:vAlign w:val="center"/>
          </w:tcPr>
          <w:p w14:paraId="42AAE647" w14:textId="77777777" w:rsidR="00E55499" w:rsidRPr="00F800EB" w:rsidRDefault="00E55499" w:rsidP="001511C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F800EB">
              <w:rPr>
                <w:b/>
                <w:bCs/>
                <w:color w:val="FFFFFF" w:themeColor="background1"/>
                <w:sz w:val="24"/>
                <w:szCs w:val="24"/>
              </w:rPr>
              <w:t xml:space="preserve">Partie « Navettes portes échantillons » - </w:t>
            </w:r>
            <w:r w:rsidRPr="00F800EB">
              <w:rPr>
                <w:i/>
                <w:iCs/>
                <w:color w:val="FFFFFF" w:themeColor="background1"/>
                <w:sz w:val="24"/>
                <w:szCs w:val="24"/>
              </w:rPr>
              <w:t>notée selon grille de notation</w:t>
            </w:r>
          </w:p>
        </w:tc>
      </w:tr>
      <w:tr w:rsidR="00E55499" w:rsidRPr="00F800EB" w14:paraId="664C8824" w14:textId="77777777" w:rsidTr="001511C8">
        <w:trPr>
          <w:trHeight w:val="280"/>
        </w:trPr>
        <w:tc>
          <w:tcPr>
            <w:tcW w:w="8359" w:type="dxa"/>
            <w:noWrap/>
            <w:vAlign w:val="center"/>
            <w:hideMark/>
          </w:tcPr>
          <w:p w14:paraId="0AB154A0" w14:textId="77777777" w:rsidR="00E55499" w:rsidRPr="00F800EB" w:rsidRDefault="00E55499" w:rsidP="001511C8">
            <w:pPr>
              <w:jc w:val="left"/>
              <w:rPr>
                <w:b/>
                <w:bCs/>
                <w:sz w:val="30"/>
                <w:szCs w:val="30"/>
              </w:rPr>
            </w:pPr>
            <w:r w:rsidRPr="00F800EB">
              <w:rPr>
                <w:b/>
                <w:bCs/>
                <w:sz w:val="30"/>
                <w:szCs w:val="30"/>
              </w:rPr>
              <w:t>Référence</w:t>
            </w:r>
            <w:r>
              <w:rPr>
                <w:b/>
                <w:bCs/>
                <w:sz w:val="30"/>
                <w:szCs w:val="30"/>
              </w:rPr>
              <w:t>s</w:t>
            </w:r>
          </w:p>
        </w:tc>
        <w:tc>
          <w:tcPr>
            <w:tcW w:w="1101" w:type="dxa"/>
            <w:noWrap/>
            <w:vAlign w:val="center"/>
            <w:hideMark/>
          </w:tcPr>
          <w:p w14:paraId="500837AB" w14:textId="77777777" w:rsidR="00E55499" w:rsidRPr="00F800EB" w:rsidRDefault="00E55499" w:rsidP="001511C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Prix</w:t>
            </w:r>
          </w:p>
        </w:tc>
      </w:tr>
      <w:tr w:rsidR="00E55499" w:rsidRPr="00F800EB" w14:paraId="4C1DE850" w14:textId="77777777" w:rsidTr="001511C8">
        <w:trPr>
          <w:trHeight w:val="630"/>
        </w:trPr>
        <w:tc>
          <w:tcPr>
            <w:tcW w:w="8359" w:type="dxa"/>
            <w:noWrap/>
            <w:vAlign w:val="center"/>
            <w:hideMark/>
          </w:tcPr>
          <w:p w14:paraId="210FB1EF" w14:textId="77777777" w:rsidR="00E55499" w:rsidRPr="00F800EB" w:rsidRDefault="00E55499" w:rsidP="001511C8">
            <w:r>
              <w:t>N</w:t>
            </w:r>
            <w:r w:rsidRPr="00F800EB">
              <w:t>avette pour échantillon de 4 pouces ou 100mm</w:t>
            </w:r>
          </w:p>
        </w:tc>
        <w:tc>
          <w:tcPr>
            <w:tcW w:w="1101" w:type="dxa"/>
            <w:noWrap/>
            <w:vAlign w:val="center"/>
            <w:hideMark/>
          </w:tcPr>
          <w:p w14:paraId="7229E407" w14:textId="77777777" w:rsidR="00E55499" w:rsidRPr="00F800EB" w:rsidRDefault="00E55499" w:rsidP="001511C8"/>
        </w:tc>
      </w:tr>
      <w:tr w:rsidR="00E55499" w:rsidRPr="00F800EB" w14:paraId="28E07BD0" w14:textId="77777777" w:rsidTr="001511C8">
        <w:trPr>
          <w:trHeight w:val="630"/>
        </w:trPr>
        <w:tc>
          <w:tcPr>
            <w:tcW w:w="8359" w:type="dxa"/>
            <w:noWrap/>
            <w:vAlign w:val="center"/>
            <w:hideMark/>
          </w:tcPr>
          <w:p w14:paraId="326623FF" w14:textId="77777777" w:rsidR="00E55499" w:rsidRPr="00F800EB" w:rsidRDefault="00E55499" w:rsidP="001511C8">
            <w:r>
              <w:t>N</w:t>
            </w:r>
            <w:r w:rsidRPr="00F800EB">
              <w:t>avette pour échantillon de 3 pouces</w:t>
            </w:r>
          </w:p>
        </w:tc>
        <w:tc>
          <w:tcPr>
            <w:tcW w:w="1101" w:type="dxa"/>
            <w:noWrap/>
            <w:vAlign w:val="center"/>
            <w:hideMark/>
          </w:tcPr>
          <w:p w14:paraId="137FCCCC" w14:textId="77777777" w:rsidR="00E55499" w:rsidRPr="00F800EB" w:rsidRDefault="00E55499" w:rsidP="001511C8"/>
        </w:tc>
      </w:tr>
      <w:tr w:rsidR="00E55499" w:rsidRPr="00F800EB" w14:paraId="67C3FA7F" w14:textId="77777777" w:rsidTr="001511C8">
        <w:trPr>
          <w:trHeight w:val="630"/>
        </w:trPr>
        <w:tc>
          <w:tcPr>
            <w:tcW w:w="8359" w:type="dxa"/>
            <w:noWrap/>
            <w:vAlign w:val="center"/>
            <w:hideMark/>
          </w:tcPr>
          <w:p w14:paraId="46FA9BE6" w14:textId="77777777" w:rsidR="00E55499" w:rsidRPr="00F800EB" w:rsidRDefault="00E55499" w:rsidP="001511C8">
            <w:r>
              <w:t>N</w:t>
            </w:r>
            <w:r w:rsidRPr="00F800EB">
              <w:t>avette pour échantillon de 2 pouces</w:t>
            </w:r>
          </w:p>
        </w:tc>
        <w:tc>
          <w:tcPr>
            <w:tcW w:w="1101" w:type="dxa"/>
            <w:noWrap/>
            <w:vAlign w:val="center"/>
            <w:hideMark/>
          </w:tcPr>
          <w:p w14:paraId="173BAF62" w14:textId="77777777" w:rsidR="00E55499" w:rsidRPr="00F800EB" w:rsidRDefault="00E55499" w:rsidP="001511C8"/>
        </w:tc>
      </w:tr>
      <w:tr w:rsidR="00E55499" w:rsidRPr="00F800EB" w14:paraId="7A5325F3" w14:textId="77777777" w:rsidTr="001511C8">
        <w:trPr>
          <w:trHeight w:val="630"/>
        </w:trPr>
        <w:tc>
          <w:tcPr>
            <w:tcW w:w="8359" w:type="dxa"/>
            <w:noWrap/>
            <w:vAlign w:val="center"/>
            <w:hideMark/>
          </w:tcPr>
          <w:p w14:paraId="646DC74E" w14:textId="77777777" w:rsidR="00E55499" w:rsidRPr="00F800EB" w:rsidRDefault="00E55499" w:rsidP="001511C8">
            <w:r>
              <w:t>N</w:t>
            </w:r>
            <w:r w:rsidRPr="00F800EB">
              <w:t>avette p</w:t>
            </w:r>
            <w:r>
              <w:t>our</w:t>
            </w:r>
            <w:r w:rsidRPr="00F800EB">
              <w:t xml:space="preserve"> le support de plusieurs échantillons de 2 pouces</w:t>
            </w:r>
          </w:p>
        </w:tc>
        <w:tc>
          <w:tcPr>
            <w:tcW w:w="1101" w:type="dxa"/>
            <w:noWrap/>
            <w:vAlign w:val="center"/>
            <w:hideMark/>
          </w:tcPr>
          <w:p w14:paraId="6283EE20" w14:textId="77777777" w:rsidR="00E55499" w:rsidRPr="00F800EB" w:rsidRDefault="00E55499" w:rsidP="001511C8"/>
        </w:tc>
      </w:tr>
      <w:tr w:rsidR="00E55499" w:rsidRPr="00F800EB" w14:paraId="2C18590E" w14:textId="77777777" w:rsidTr="001511C8">
        <w:trPr>
          <w:trHeight w:val="630"/>
        </w:trPr>
        <w:tc>
          <w:tcPr>
            <w:tcW w:w="8359" w:type="dxa"/>
            <w:noWrap/>
            <w:vAlign w:val="center"/>
            <w:hideMark/>
          </w:tcPr>
          <w:p w14:paraId="62E3E3CB" w14:textId="77777777" w:rsidR="00E55499" w:rsidRPr="00F800EB" w:rsidRDefault="00E55499" w:rsidP="001511C8">
            <w:r>
              <w:t>N</w:t>
            </w:r>
            <w:r w:rsidRPr="00F800EB">
              <w:t>avette p</w:t>
            </w:r>
            <w:r>
              <w:t>our</w:t>
            </w:r>
            <w:r w:rsidRPr="00F800EB">
              <w:t xml:space="preserve"> le support de plusieurs échantillons inférieurs à 2 pouces</w:t>
            </w:r>
          </w:p>
        </w:tc>
        <w:tc>
          <w:tcPr>
            <w:tcW w:w="1101" w:type="dxa"/>
            <w:noWrap/>
            <w:vAlign w:val="center"/>
            <w:hideMark/>
          </w:tcPr>
          <w:p w14:paraId="5BA6E126" w14:textId="77777777" w:rsidR="00E55499" w:rsidRPr="00F800EB" w:rsidRDefault="00E55499" w:rsidP="001511C8"/>
        </w:tc>
      </w:tr>
      <w:tr w:rsidR="00E55499" w:rsidRPr="00F800EB" w14:paraId="24DEFD7B" w14:textId="77777777" w:rsidTr="001511C8">
        <w:trPr>
          <w:trHeight w:val="216"/>
        </w:trPr>
        <w:tc>
          <w:tcPr>
            <w:tcW w:w="9460" w:type="dxa"/>
            <w:gridSpan w:val="2"/>
            <w:shd w:val="clear" w:color="auto" w:fill="501549" w:themeFill="accent5" w:themeFillShade="80"/>
            <w:noWrap/>
            <w:vAlign w:val="center"/>
          </w:tcPr>
          <w:p w14:paraId="3D1D374B" w14:textId="77777777" w:rsidR="00E55499" w:rsidRPr="00F800EB" w:rsidRDefault="00E55499" w:rsidP="001511C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bookmarkStart w:id="1" w:name="_Hlk221519507"/>
            <w:r w:rsidRPr="00F800EB">
              <w:rPr>
                <w:b/>
                <w:bCs/>
                <w:color w:val="FFFFFF" w:themeColor="background1"/>
                <w:sz w:val="24"/>
                <w:szCs w:val="24"/>
              </w:rPr>
              <w:t>Partie « Eléments du Kit initial de maintenance opérateur »</w:t>
            </w:r>
            <w:r w:rsidRPr="00F800EB">
              <w:rPr>
                <w:i/>
                <w:iCs/>
                <w:color w:val="FFFFFF" w:themeColor="background1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FFFFFF" w:themeColor="background1"/>
                <w:sz w:val="24"/>
                <w:szCs w:val="24"/>
              </w:rPr>
              <w:t xml:space="preserve">non </w:t>
            </w:r>
            <w:r w:rsidRPr="00F800EB">
              <w:rPr>
                <w:i/>
                <w:iCs/>
                <w:color w:val="FFFFFF" w:themeColor="background1"/>
                <w:sz w:val="24"/>
                <w:szCs w:val="24"/>
              </w:rPr>
              <w:t xml:space="preserve">notée </w:t>
            </w:r>
          </w:p>
        </w:tc>
      </w:tr>
      <w:bookmarkEnd w:id="1"/>
      <w:tr w:rsidR="00E55499" w:rsidRPr="00F800EB" w14:paraId="39D19E45" w14:textId="77777777" w:rsidTr="001511C8">
        <w:trPr>
          <w:trHeight w:val="280"/>
        </w:trPr>
        <w:tc>
          <w:tcPr>
            <w:tcW w:w="8359" w:type="dxa"/>
            <w:noWrap/>
            <w:vAlign w:val="center"/>
            <w:hideMark/>
          </w:tcPr>
          <w:p w14:paraId="19AF2B3B" w14:textId="77777777" w:rsidR="00E55499" w:rsidRPr="00F800EB" w:rsidRDefault="00E55499" w:rsidP="001511C8">
            <w:pPr>
              <w:jc w:val="left"/>
              <w:rPr>
                <w:b/>
                <w:bCs/>
                <w:sz w:val="30"/>
                <w:szCs w:val="30"/>
              </w:rPr>
            </w:pPr>
            <w:r w:rsidRPr="00F800EB">
              <w:rPr>
                <w:b/>
                <w:bCs/>
                <w:sz w:val="30"/>
                <w:szCs w:val="30"/>
              </w:rPr>
              <w:t>Référence</w:t>
            </w:r>
            <w:r>
              <w:rPr>
                <w:b/>
                <w:bCs/>
                <w:sz w:val="30"/>
                <w:szCs w:val="30"/>
              </w:rPr>
              <w:t>s</w:t>
            </w:r>
          </w:p>
        </w:tc>
        <w:tc>
          <w:tcPr>
            <w:tcW w:w="1101" w:type="dxa"/>
            <w:noWrap/>
            <w:vAlign w:val="center"/>
            <w:hideMark/>
          </w:tcPr>
          <w:p w14:paraId="701A3E36" w14:textId="77777777" w:rsidR="00E55499" w:rsidRPr="00F800EB" w:rsidRDefault="00E55499" w:rsidP="001511C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Prix</w:t>
            </w:r>
          </w:p>
        </w:tc>
      </w:tr>
      <w:tr w:rsidR="00E55499" w:rsidRPr="00F800EB" w14:paraId="28B7ABD0" w14:textId="77777777" w:rsidTr="001511C8">
        <w:trPr>
          <w:trHeight w:val="630"/>
        </w:trPr>
        <w:tc>
          <w:tcPr>
            <w:tcW w:w="8359" w:type="dxa"/>
            <w:noWrap/>
            <w:vAlign w:val="center"/>
            <w:hideMark/>
          </w:tcPr>
          <w:p w14:paraId="39B19243" w14:textId="77777777" w:rsidR="00E55499" w:rsidRPr="00F800EB" w:rsidRDefault="00E55499" w:rsidP="001511C8">
            <w:bookmarkStart w:id="2" w:name="RANGE!A7"/>
            <w:r>
              <w:t>Elément</w:t>
            </w:r>
            <w:r w:rsidRPr="00F800EB">
              <w:t xml:space="preserve"> du kit de maintenance</w:t>
            </w:r>
            <w:bookmarkEnd w:id="2"/>
            <w:r>
              <w:t xml:space="preserve"> 1</w:t>
            </w:r>
          </w:p>
        </w:tc>
        <w:tc>
          <w:tcPr>
            <w:tcW w:w="1101" w:type="dxa"/>
            <w:noWrap/>
            <w:vAlign w:val="center"/>
            <w:hideMark/>
          </w:tcPr>
          <w:p w14:paraId="6C44DBF8" w14:textId="77777777" w:rsidR="00E55499" w:rsidRPr="00F800EB" w:rsidRDefault="00E55499" w:rsidP="001511C8"/>
        </w:tc>
      </w:tr>
      <w:tr w:rsidR="00E55499" w:rsidRPr="00F800EB" w14:paraId="10C93F7B" w14:textId="77777777" w:rsidTr="001511C8">
        <w:trPr>
          <w:trHeight w:val="630"/>
        </w:trPr>
        <w:tc>
          <w:tcPr>
            <w:tcW w:w="8359" w:type="dxa"/>
            <w:noWrap/>
            <w:vAlign w:val="center"/>
          </w:tcPr>
          <w:p w14:paraId="294701A3" w14:textId="77777777" w:rsidR="00E55499" w:rsidRPr="00F800EB" w:rsidRDefault="00E55499" w:rsidP="001511C8">
            <w:r>
              <w:t>Elément</w:t>
            </w:r>
            <w:r w:rsidRPr="00F800EB">
              <w:t xml:space="preserve"> du kit de maintenance</w:t>
            </w:r>
            <w:r>
              <w:t xml:space="preserve"> 2</w:t>
            </w:r>
          </w:p>
        </w:tc>
        <w:tc>
          <w:tcPr>
            <w:tcW w:w="1101" w:type="dxa"/>
            <w:noWrap/>
            <w:vAlign w:val="center"/>
          </w:tcPr>
          <w:p w14:paraId="24169119" w14:textId="77777777" w:rsidR="00E55499" w:rsidRPr="00F800EB" w:rsidRDefault="00E55499" w:rsidP="001511C8"/>
        </w:tc>
      </w:tr>
      <w:tr w:rsidR="00E55499" w:rsidRPr="00F800EB" w14:paraId="7E9D07C5" w14:textId="77777777" w:rsidTr="001511C8">
        <w:trPr>
          <w:trHeight w:val="630"/>
        </w:trPr>
        <w:tc>
          <w:tcPr>
            <w:tcW w:w="8359" w:type="dxa"/>
            <w:noWrap/>
            <w:vAlign w:val="center"/>
          </w:tcPr>
          <w:p w14:paraId="13950B88" w14:textId="77777777" w:rsidR="00E55499" w:rsidRPr="00F800EB" w:rsidRDefault="00E55499" w:rsidP="001511C8">
            <w:r>
              <w:t>Elément</w:t>
            </w:r>
            <w:r w:rsidRPr="00F800EB">
              <w:t xml:space="preserve"> du kit de maintenance</w:t>
            </w:r>
            <w:r>
              <w:t xml:space="preserve"> 3</w:t>
            </w:r>
          </w:p>
        </w:tc>
        <w:tc>
          <w:tcPr>
            <w:tcW w:w="1101" w:type="dxa"/>
            <w:noWrap/>
            <w:vAlign w:val="center"/>
          </w:tcPr>
          <w:p w14:paraId="57E81C93" w14:textId="77777777" w:rsidR="00E55499" w:rsidRPr="00F800EB" w:rsidRDefault="00E55499" w:rsidP="001511C8"/>
        </w:tc>
      </w:tr>
      <w:tr w:rsidR="00E55499" w:rsidRPr="00F800EB" w14:paraId="62F0EEE1" w14:textId="77777777" w:rsidTr="001511C8">
        <w:trPr>
          <w:trHeight w:val="630"/>
        </w:trPr>
        <w:tc>
          <w:tcPr>
            <w:tcW w:w="8359" w:type="dxa"/>
            <w:noWrap/>
            <w:vAlign w:val="center"/>
          </w:tcPr>
          <w:p w14:paraId="693FFEA2" w14:textId="77777777" w:rsidR="00E55499" w:rsidRPr="00F800EB" w:rsidRDefault="00E55499" w:rsidP="001511C8">
            <w:r>
              <w:t>….</w:t>
            </w:r>
          </w:p>
        </w:tc>
        <w:tc>
          <w:tcPr>
            <w:tcW w:w="1101" w:type="dxa"/>
            <w:noWrap/>
            <w:vAlign w:val="center"/>
          </w:tcPr>
          <w:p w14:paraId="5718869C" w14:textId="77777777" w:rsidR="00E55499" w:rsidRPr="00F800EB" w:rsidRDefault="00E55499" w:rsidP="001511C8"/>
        </w:tc>
      </w:tr>
    </w:tbl>
    <w:p w14:paraId="5C5CDE71" w14:textId="77777777" w:rsidR="00032218" w:rsidRDefault="00032218"/>
    <w:sectPr w:rsidR="00032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99"/>
    <w:rsid w:val="00032218"/>
    <w:rsid w:val="00064677"/>
    <w:rsid w:val="002612F4"/>
    <w:rsid w:val="00E55499"/>
    <w:rsid w:val="00FD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927C"/>
  <w15:chartTrackingRefBased/>
  <w15:docId w15:val="{9513D0F7-233E-43E3-B7EE-1840BD36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499"/>
    <w:pPr>
      <w:spacing w:before="120" w:after="0" w:line="240" w:lineRule="auto"/>
      <w:jc w:val="both"/>
    </w:pPr>
    <w:rPr>
      <w:rFonts w:eastAsia="Times New Roman" w:cs="Times New Roman"/>
      <w:kern w:val="0"/>
      <w:szCs w:val="2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554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54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aliases w:val="wcp_Heading3,Heading3_Titre3"/>
    <w:basedOn w:val="Normal"/>
    <w:next w:val="Normal"/>
    <w:link w:val="Titre3Car"/>
    <w:uiPriority w:val="99"/>
    <w:unhideWhenUsed/>
    <w:qFormat/>
    <w:rsid w:val="00E554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aliases w:val="wcp_Heading4,Heading4_Titre4,L"/>
    <w:basedOn w:val="Normal"/>
    <w:next w:val="Normal"/>
    <w:link w:val="Titre4Car"/>
    <w:uiPriority w:val="99"/>
    <w:unhideWhenUsed/>
    <w:qFormat/>
    <w:rsid w:val="00E554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aliases w:val="wcp_Heading5,Heading5_Titre5"/>
    <w:basedOn w:val="Normal"/>
    <w:next w:val="Normal"/>
    <w:link w:val="Titre5Car"/>
    <w:uiPriority w:val="99"/>
    <w:unhideWhenUsed/>
    <w:qFormat/>
    <w:rsid w:val="00E554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aliases w:val="wcp_Heading6,Heading6_Titre6"/>
    <w:basedOn w:val="Normal"/>
    <w:next w:val="Normal"/>
    <w:link w:val="Titre6Car"/>
    <w:uiPriority w:val="99"/>
    <w:unhideWhenUsed/>
    <w:qFormat/>
    <w:rsid w:val="00E554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aliases w:val="wcp_Heading7,Heading7_Titre7"/>
    <w:basedOn w:val="Normal"/>
    <w:next w:val="Normal"/>
    <w:link w:val="Titre7Car"/>
    <w:uiPriority w:val="99"/>
    <w:unhideWhenUsed/>
    <w:qFormat/>
    <w:rsid w:val="00E554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aliases w:val="wcp_Heading8,Heading8_Titre8"/>
    <w:basedOn w:val="Normal"/>
    <w:next w:val="Normal"/>
    <w:link w:val="Titre8Car"/>
    <w:uiPriority w:val="99"/>
    <w:unhideWhenUsed/>
    <w:qFormat/>
    <w:rsid w:val="00E554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E554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554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554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554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5549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5549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5549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5549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5549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5549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554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554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54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554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554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5549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5549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5549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554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5549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5549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E554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501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Nils</dc:creator>
  <cp:keywords/>
  <dc:description/>
  <cp:lastModifiedBy>LEROY Nils</cp:lastModifiedBy>
  <cp:revision>1</cp:revision>
  <dcterms:created xsi:type="dcterms:W3CDTF">2026-02-09T09:15:00Z</dcterms:created>
  <dcterms:modified xsi:type="dcterms:W3CDTF">2026-02-09T09:15:00Z</dcterms:modified>
</cp:coreProperties>
</file>